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Default Extension="psmdcp" ContentType="application/vnd.openxmlformats-package.core-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2fdebb1f73fe418d" /><Relationship Type="http://schemas.openxmlformats.org/package/2006/relationships/metadata/core-properties" Target="package/services/metadata/core-properties/3b23d5678e674a92999e02de0f7a39a4.psmdcp" Id="R4a7d7d6a9ceb4bbb"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Pr="00000000" w:rsidR="00000000" w:rsidDel="00000000" w:rsidP="00000000" w:rsidRDefault="00000000" w14:paraId="00000001">
      <w:pPr>
        <w:pBdr>
          <w:top w:val="none" w:color="auto" w:sz="0" w:space="0"/>
          <w:left w:val="none" w:color="auto" w:sz="0" w:space="0"/>
          <w:bottom w:val="none" w:color="auto" w:sz="0" w:space="0"/>
          <w:right w:val="none" w:color="auto" w:sz="0" w:space="0"/>
          <w:between w:val="none" w:color="auto" w:sz="0" w:space="0"/>
        </w:pBdr>
        <w:shd w:val="clear" w:fill="ffffff"/>
        <w:spacing w:before="240" w:after="240" w:lineRule="auto"/>
        <w:rPr>
          <w:rFonts w:ascii="Cambria" w:hAnsi="Cambria" w:eastAsia="Cambria" w:cs="Cambria"/>
        </w:rPr>
      </w:pPr>
      <w:r w:rsidRPr="00000000" w:rsidDel="00000000" w:rsidR="00000000">
        <w:rPr>
          <w:rFonts w:ascii="Cambria" w:hAnsi="Cambria" w:eastAsia="Cambria" w:cs="Cambria"/>
          <w:rtl w:val="0"/>
        </w:rPr>
        <w:t xml:space="preserve">Dear Administrative Leadership Team, </w:t>
      </w:r>
    </w:p>
    <w:p w:rsidRPr="00000000" w:rsidR="00000000" w:rsidDel="00000000" w:rsidP="698D04D0" w:rsidRDefault="00000000" w14:paraId="00000002" w14:textId="2EAC02A2">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spacing w:before="240" w:after="240" w:lineRule="auto"/>
        <w:rPr>
          <w:rFonts w:ascii="Cambria" w:hAnsi="Cambria" w:eastAsia="Cambria" w:cs="Cambria"/>
        </w:rPr>
      </w:pPr>
      <w:r w:rsidRPr="698D04D0" w:rsidR="698D04D0">
        <w:rPr>
          <w:rFonts w:ascii="Cambria" w:hAnsi="Cambria" w:eastAsia="Cambria" w:cs="Cambria"/>
        </w:rPr>
        <w:t>I am writing to seek approval for our high school students to participate in a field trip to the Money Museum located at the Federal Reserve Bank of Chicago. This experience is directly aligned with our 9</w:t>
      </w:r>
      <w:r w:rsidRPr="698D04D0" w:rsidR="698D04D0">
        <w:rPr>
          <w:rFonts w:ascii="Cambria" w:hAnsi="Cambria" w:eastAsia="Cambria" w:cs="Cambria"/>
          <w:sz w:val="28"/>
          <w:szCs w:val="28"/>
          <w:vertAlign w:val="superscript"/>
        </w:rPr>
        <w:t>th</w:t>
      </w:r>
      <w:r w:rsidRPr="698D04D0" w:rsidR="698D04D0">
        <w:rPr>
          <w:rFonts w:ascii="Cambria" w:hAnsi="Cambria" w:eastAsia="Cambria" w:cs="Cambria"/>
        </w:rPr>
        <w:t>–12</w:t>
      </w:r>
      <w:r w:rsidRPr="698D04D0" w:rsidR="698D04D0">
        <w:rPr>
          <w:rFonts w:ascii="Cambria" w:hAnsi="Cambria" w:eastAsia="Cambria" w:cs="Cambria"/>
          <w:sz w:val="28"/>
          <w:szCs w:val="28"/>
          <w:vertAlign w:val="superscript"/>
        </w:rPr>
        <w:t>th</w:t>
      </w:r>
      <w:r w:rsidRPr="698D04D0" w:rsidR="698D04D0">
        <w:rPr>
          <w:rFonts w:ascii="Cambria" w:hAnsi="Cambria" w:eastAsia="Cambria" w:cs="Cambria"/>
        </w:rPr>
        <w:t xml:space="preserve"> grade Personal Finance curriculum and adheres to Michigan’s Social Science standards for high school education. It will provide students with critical, real-world exposure to the financial concepts and systems essential to their academic development at this level. </w:t>
      </w:r>
    </w:p>
    <w:p w:rsidRPr="00000000" w:rsidR="00000000" w:rsidDel="00000000" w:rsidP="00000000" w:rsidRDefault="00000000" w14:paraId="00000003">
      <w:pPr>
        <w:pBdr>
          <w:top w:val="none" w:color="auto" w:sz="0" w:space="0"/>
          <w:left w:val="none" w:color="auto" w:sz="0" w:space="0"/>
          <w:bottom w:val="none" w:color="auto" w:sz="0" w:space="0"/>
          <w:right w:val="none" w:color="auto" w:sz="0" w:space="0"/>
          <w:between w:val="none" w:color="auto" w:sz="0" w:space="0"/>
        </w:pBdr>
        <w:shd w:val="clear" w:fill="ffffff"/>
        <w:spacing w:before="240" w:after="240" w:lineRule="auto"/>
        <w:rPr>
          <w:rFonts w:ascii="Cambria" w:hAnsi="Cambria" w:eastAsia="Cambria" w:cs="Cambria"/>
        </w:rPr>
      </w:pPr>
      <w:r w:rsidRPr="00000000" w:rsidDel="00000000" w:rsidR="00000000">
        <w:rPr>
          <w:rFonts w:ascii="Cambria" w:hAnsi="Cambria" w:eastAsia="Cambria" w:cs="Cambria"/>
          <w:rtl w:val="0"/>
        </w:rPr>
        <w:t xml:space="preserve">The educational opportunities at the Money Museum go beyond traditional classroom instruction. This visit will enhance students' understanding of the content, promote critical thinking about financial systems, and support our school's commitment to preparing graduates who are financially literate, economically knowledgeable, and ready for success in postsecondary endeavors. </w:t>
      </w:r>
    </w:p>
    <w:p w:rsidRPr="00000000" w:rsidR="00000000" w:rsidDel="00000000" w:rsidP="00000000" w:rsidRDefault="00000000" w14:paraId="00000004">
      <w:pPr>
        <w:pBdr>
          <w:top w:val="none" w:color="auto" w:sz="0" w:space="0"/>
          <w:left w:val="none" w:color="auto" w:sz="0" w:space="0"/>
          <w:bottom w:val="none" w:color="auto" w:sz="0" w:space="0"/>
          <w:right w:val="none" w:color="auto" w:sz="0" w:space="0"/>
          <w:between w:val="none" w:color="auto" w:sz="0" w:space="0"/>
        </w:pBdr>
        <w:shd w:val="clear" w:fill="ffffff"/>
        <w:spacing w:before="240" w:after="240" w:lineRule="auto"/>
        <w:rPr>
          <w:rFonts w:ascii="Cambria" w:hAnsi="Cambria" w:eastAsia="Cambria" w:cs="Cambria"/>
        </w:rPr>
      </w:pPr>
      <w:r w:rsidRPr="00000000" w:rsidDel="00000000" w:rsidR="00000000">
        <w:rPr>
          <w:rFonts w:ascii="Cambria" w:hAnsi="Cambria" w:eastAsia="Cambria" w:cs="Cambria"/>
          <w:rtl w:val="0"/>
        </w:rPr>
        <w:t xml:space="preserve">During the visit, students will engage with fundamental aspects of the U.S. financial system, including: </w:t>
      </w:r>
    </w:p>
    <w:p w:rsidRPr="00000000" w:rsidR="00000000" w:rsidDel="00000000" w:rsidP="00000000" w:rsidRDefault="00000000" w14:paraId="00000005">
      <w:pPr>
        <w:numPr>
          <w:ilvl w:val="0"/>
          <w:numId w:val="2"/>
        </w:numPr>
        <w:pBdr>
          <w:top w:val="none" w:color="auto" w:sz="0" w:space="0"/>
          <w:bottom w:val="none" w:color="auto" w:sz="0" w:space="0"/>
          <w:right w:val="none" w:color="auto" w:sz="0" w:space="0"/>
          <w:between w:val="none" w:color="auto" w:sz="0" w:space="0"/>
        </w:pBdr>
        <w:ind w:left="1080" w:hanging="360"/>
        <w:rPr>
          <w:rFonts w:ascii="Cambria" w:hAnsi="Cambria" w:eastAsia="Cambria" w:cs="Cambria"/>
          <w:sz w:val="22"/>
          <w:szCs w:val="22"/>
        </w:rPr>
      </w:pPr>
      <w:r w:rsidRPr="00000000" w:rsidDel="00000000" w:rsidR="00000000">
        <w:rPr>
          <w:rFonts w:ascii="Cambria" w:hAnsi="Cambria" w:eastAsia="Cambria" w:cs="Cambria"/>
          <w:rtl w:val="0"/>
        </w:rPr>
        <w:t xml:space="preserve">The five core functions of the Federal Reserve including conducting monetary policy, promoting financial stability, and safeguarding the nation's banking system. </w:t>
      </w:r>
    </w:p>
    <w:p w:rsidRPr="00000000" w:rsidR="00000000" w:rsidDel="00000000" w:rsidP="00000000" w:rsidRDefault="00000000" w14:paraId="00000006">
      <w:pPr>
        <w:numPr>
          <w:ilvl w:val="0"/>
          <w:numId w:val="4"/>
        </w:numPr>
        <w:pBdr>
          <w:top w:val="none" w:color="auto" w:sz="0" w:space="0"/>
          <w:bottom w:val="none" w:color="auto" w:sz="0" w:space="0"/>
          <w:right w:val="none" w:color="auto" w:sz="0" w:space="0"/>
          <w:between w:val="none" w:color="auto" w:sz="0" w:space="0"/>
        </w:pBdr>
        <w:ind w:left="1080" w:hanging="360"/>
        <w:rPr>
          <w:rFonts w:ascii="Cambria" w:hAnsi="Cambria" w:eastAsia="Cambria" w:cs="Cambria"/>
          <w:sz w:val="22"/>
          <w:szCs w:val="22"/>
        </w:rPr>
      </w:pPr>
      <w:r w:rsidRPr="00000000" w:rsidDel="00000000" w:rsidR="00000000">
        <w:rPr>
          <w:rFonts w:ascii="Cambria" w:hAnsi="Cambria" w:eastAsia="Cambria" w:cs="Cambria"/>
          <w:rtl w:val="0"/>
        </w:rPr>
        <w:t xml:space="preserve">Real-time analysis of inflation, interest rates, and decision-making processes conducted by the Federal Open Market Committee (FOMC). </w:t>
      </w:r>
    </w:p>
    <w:p w:rsidRPr="00000000" w:rsidR="00000000" w:rsidDel="00000000" w:rsidP="00000000" w:rsidRDefault="00000000" w14:paraId="00000007">
      <w:pPr>
        <w:numPr>
          <w:ilvl w:val="0"/>
          <w:numId w:val="3"/>
        </w:numPr>
        <w:pBdr>
          <w:top w:val="none" w:color="auto" w:sz="0" w:space="0"/>
          <w:bottom w:val="none" w:color="auto" w:sz="0" w:space="0"/>
          <w:right w:val="none" w:color="auto" w:sz="0" w:space="0"/>
          <w:between w:val="none" w:color="auto" w:sz="0" w:space="0"/>
        </w:pBdr>
        <w:ind w:left="1080" w:hanging="360"/>
        <w:rPr>
          <w:rFonts w:ascii="Cambria" w:hAnsi="Cambria" w:eastAsia="Cambria" w:cs="Cambria"/>
          <w:sz w:val="22"/>
          <w:szCs w:val="22"/>
        </w:rPr>
      </w:pPr>
      <w:r w:rsidRPr="00000000" w:rsidDel="00000000" w:rsidR="00000000">
        <w:rPr>
          <w:rFonts w:ascii="Cambria" w:hAnsi="Cambria" w:eastAsia="Cambria" w:cs="Cambria"/>
          <w:rtl w:val="0"/>
        </w:rPr>
        <w:t xml:space="preserve">Exhibits that illustrate the historical and contemporary evolution of American currency and banking. </w:t>
      </w:r>
    </w:p>
    <w:p w:rsidRPr="00000000" w:rsidR="00000000" w:rsidDel="00000000" w:rsidP="00000000" w:rsidRDefault="00000000" w14:paraId="00000008">
      <w:pPr>
        <w:numPr>
          <w:ilvl w:val="0"/>
          <w:numId w:val="5"/>
        </w:numPr>
        <w:pBdr>
          <w:top w:val="none" w:color="auto" w:sz="0" w:space="0"/>
          <w:bottom w:val="none" w:color="auto" w:sz="0" w:space="0"/>
          <w:right w:val="none" w:color="auto" w:sz="0" w:space="0"/>
          <w:between w:val="none" w:color="auto" w:sz="0" w:space="0"/>
        </w:pBdr>
        <w:ind w:left="1080" w:hanging="360"/>
        <w:rPr>
          <w:rFonts w:ascii="Cambria" w:hAnsi="Cambria" w:eastAsia="Cambria" w:cs="Cambria"/>
          <w:sz w:val="22"/>
          <w:szCs w:val="22"/>
        </w:rPr>
      </w:pPr>
      <w:r w:rsidRPr="00000000" w:rsidDel="00000000" w:rsidR="00000000">
        <w:rPr>
          <w:rFonts w:ascii="Cambria" w:hAnsi="Cambria" w:eastAsia="Cambria" w:cs="Cambria"/>
          <w:rtl w:val="0"/>
        </w:rPr>
        <w:t xml:space="preserve">Consumer protection measures and the federal oversight mechanisms that ensure the fairness and transparency of financial systems. </w:t>
      </w:r>
    </w:p>
    <w:p w:rsidRPr="00000000" w:rsidR="00000000" w:rsidDel="00000000" w:rsidP="00000000" w:rsidRDefault="00000000" w14:paraId="00000009">
      <w:pPr>
        <w:numPr>
          <w:ilvl w:val="0"/>
          <w:numId w:val="1"/>
        </w:numPr>
        <w:pBdr>
          <w:top w:val="none" w:color="auto" w:sz="0" w:space="0"/>
          <w:bottom w:val="none" w:color="auto" w:sz="0" w:space="0"/>
          <w:right w:val="none" w:color="auto" w:sz="0" w:space="0"/>
          <w:between w:val="none" w:color="auto" w:sz="0" w:space="0"/>
        </w:pBdr>
        <w:ind w:left="1080" w:hanging="360"/>
        <w:rPr>
          <w:rFonts w:ascii="Cambria" w:hAnsi="Cambria" w:eastAsia="Cambria" w:cs="Cambria"/>
          <w:sz w:val="22"/>
          <w:szCs w:val="22"/>
        </w:rPr>
      </w:pPr>
      <w:r w:rsidRPr="00000000" w:rsidDel="00000000" w:rsidR="00000000">
        <w:rPr>
          <w:rFonts w:ascii="Cambria" w:hAnsi="Cambria" w:eastAsia="Cambria" w:cs="Cambria"/>
          <w:rtl w:val="0"/>
        </w:rPr>
        <w:t xml:space="preserve">Career pathways connected to economics, public policy, research, cybersecurity, banking, communications, and related fields. </w:t>
      </w:r>
    </w:p>
    <w:p w:rsidRPr="00000000" w:rsidR="00000000" w:rsidDel="00000000" w:rsidP="698D04D0" w:rsidRDefault="00000000" w14:paraId="0000000A" w14:textId="304123D9">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spacing w:before="240" w:after="240" w:lineRule="auto"/>
        <w:rPr>
          <w:rFonts w:ascii="Cambria" w:hAnsi="Cambria" w:eastAsia="Cambria" w:cs="Cambria"/>
        </w:rPr>
      </w:pPr>
      <w:r w:rsidRPr="698D04D0" w:rsidR="698D04D0">
        <w:rPr>
          <w:rFonts w:ascii="Cambria" w:hAnsi="Cambria" w:eastAsia="Cambria" w:cs="Cambria"/>
        </w:rPr>
        <w:t xml:space="preserve">This experience will significantly deepen students' comprehension of national economic decision-making, the structure and purpose of the Federal Reserve System, and the importance of financial literacy in ensuring long-term personal, academic, and civic success. It represents a highly relevant, standards-aligned learning opportunity that enhances the rigor and practical application of our instructional program. </w:t>
      </w:r>
    </w:p>
    <w:p w:rsidRPr="00000000" w:rsidR="00000000" w:rsidDel="00000000" w:rsidP="698D04D0" w:rsidRDefault="00000000" w14:paraId="0000000B" w14:textId="34844E85">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spacing w:before="240" w:after="240" w:lineRule="auto"/>
        <w:rPr>
          <w:rFonts w:ascii="Cambria" w:hAnsi="Cambria" w:eastAsia="Cambria" w:cs="Cambria"/>
        </w:rPr>
      </w:pPr>
      <w:r w:rsidRPr="698D04D0" w:rsidR="698D04D0">
        <w:rPr>
          <w:rFonts w:ascii="Cambria" w:hAnsi="Cambria" w:eastAsia="Cambria" w:cs="Cambria"/>
        </w:rPr>
        <w:t xml:space="preserve">The Money Museum requires Federal Reserve security screening before entry, and all school policies will be strictly enforced to ensure the safety of our students. Additional logistical details will be finalized upon receiving approval. </w:t>
      </w:r>
    </w:p>
    <w:p w:rsidRPr="00000000" w:rsidR="00000000" w:rsidDel="00000000" w:rsidP="698D04D0" w:rsidRDefault="00000000" w14:paraId="0000000C" w14:textId="0B8E0245">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spacing w:before="240" w:after="240" w:lineRule="auto"/>
        <w:rPr>
          <w:rFonts w:ascii="Cambria" w:hAnsi="Cambria" w:eastAsia="Cambria" w:cs="Cambria"/>
        </w:rPr>
      </w:pPr>
      <w:r w:rsidRPr="698D04D0" w:rsidR="698D04D0">
        <w:rPr>
          <w:rFonts w:ascii="Cambria" w:hAnsi="Cambria" w:eastAsia="Cambria" w:cs="Cambria"/>
        </w:rPr>
        <w:t xml:space="preserve">Given the strong alignment with state standards and the clear academic value of this experience, I request permission to proceed with the planning of this field trip.  </w:t>
      </w:r>
    </w:p>
    <w:p w:rsidRPr="00000000" w:rsidR="00000000" w:rsidDel="00000000" w:rsidP="00000000" w:rsidRDefault="00000000" w14:paraId="0000000D">
      <w:pPr>
        <w:pBdr>
          <w:top w:val="none" w:color="auto" w:sz="0" w:space="0"/>
          <w:left w:val="none" w:color="auto" w:sz="0" w:space="0"/>
          <w:bottom w:val="none" w:color="auto" w:sz="0" w:space="0"/>
          <w:right w:val="none" w:color="auto" w:sz="0" w:space="0"/>
          <w:between w:val="none" w:color="auto" w:sz="0" w:space="0"/>
        </w:pBdr>
        <w:shd w:val="clear" w:fill="ffffff"/>
        <w:spacing w:before="240" w:after="240" w:lineRule="auto"/>
        <w:rPr>
          <w:rFonts w:ascii="Cambria" w:hAnsi="Cambria" w:eastAsia="Cambria" w:cs="Cambria"/>
        </w:rPr>
      </w:pPr>
      <w:r w:rsidRPr="00000000" w:rsidDel="00000000" w:rsidR="00000000">
        <w:rPr>
          <w:rFonts w:ascii="Cambria" w:hAnsi="Cambria" w:eastAsia="Cambria" w:cs="Cambria"/>
          <w:rtl w:val="0"/>
        </w:rPr>
        <w:t xml:space="preserve">Thank you for your consideration and ongoing support of rigorous, real-world learning initiatives.</w:t>
      </w:r>
    </w:p>
    <w:p w:rsidRPr="00000000" w:rsidR="00000000" w:rsidDel="00000000" w:rsidP="00000000" w:rsidRDefault="00000000" w14:paraId="0000000E">
      <w:pPr>
        <w:rPr/>
      </w:pPr>
      <w:r w:rsidRPr="00000000" w:rsidDel="00000000" w:rsidR="00000000">
        <w:rPr>
          <w:rtl w:val="0"/>
        </w:rPr>
      </w:r>
    </w:p>
    <w:sectPr>
      <w:pgSz w:w="12240" w:h="15840" w:orient="portrait"/>
      <w:pgMar w:top="1440" w:right="1440" w:bottom="1440" w:left="1440" w:header="720" w:footer="72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49ef9b39"/>
  </w:abstractNum>
  <w:abstractNum w:abstractNumId="2">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431caeb4"/>
  </w:abstractNum>
  <w:abstractNum w:abstractNumId="3">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696b94af"/>
  </w:abstractNum>
  <w:abstractNum w:abstractNumId="4">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72999ab8"/>
  </w:abstractNum>
  <w:abstractNum w:abstractNumId="5">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6f9f69d0"/>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rsidRoot w:val="698D04D0"/>
    <w:rsid w:val="698D04D0"/>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hAnsi="Arial" w:eastAsia="Arial" w:cs="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bCs w:val="0"/>
      <w:sz w:val="32"/>
      <w:szCs w:val="32"/>
    </w:rPr>
  </w:style>
  <w:style w:type="paragraph" w:styleId="Heading3">
    <w:name w:val="heading 3"/>
    <w:basedOn w:val="Normal"/>
    <w:next w:val="Normal"/>
    <w:pPr>
      <w:keepNext w:val="1"/>
      <w:keepLines w:val="1"/>
      <w:pageBreakBefore w:val="0"/>
      <w:spacing w:before="320" w:after="80" w:lineRule="auto"/>
    </w:pPr>
    <w:rPr>
      <w:b w:val="0"/>
      <w:bCs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iCs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iCs w:val="0"/>
      <w:color w:val="666666"/>
      <w:sz w:val="30"/>
      <w:szCs w:val="30"/>
    </w:rPr>
  </w:style>
</w:style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fontTable" Target="fontTable.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customXml" Target="../customXml/item1.xml" Id="rId6" /><Relationship Type="http://schemas.openxmlformats.org/officeDocument/2006/relationships/styles" Target="styles.xml" Id="rId5" /><Relationship Type="http://schemas.openxmlformats.org/officeDocument/2006/relationships/numbering" Target="numbering.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51457BA6B7124E9A79746FEE89B5A6" ma:contentTypeVersion="19" ma:contentTypeDescription="Create a new document." ma:contentTypeScope="" ma:versionID="cac8d58acfa6864c70d2a00072bef60a">
  <xsd:schema xmlns:xsd="http://www.w3.org/2001/XMLSchema" xmlns:xs="http://www.w3.org/2001/XMLSchema" xmlns:p="http://schemas.microsoft.com/office/2006/metadata/properties" xmlns:ns1="http://schemas.microsoft.com/sharepoint/v3" xmlns:ns2="f1eda7e2-2ade-4676-8322-86a7f07dc210" xmlns:ns3="d64264fa-5603-4e4e-a2f4-32f4724a08c4" xmlns:ns4="0017d5d2-1330-4f3b-97df-3036b6af69cd" targetNamespace="http://schemas.microsoft.com/office/2006/metadata/properties" ma:root="true" ma:fieldsID="77406b2bcef90e8459fd0eebd5b3f7c3" ns1:_="" ns2:_="" ns3:_="" ns4:_="">
    <xsd:import namespace="http://schemas.microsoft.com/sharepoint/v3"/>
    <xsd:import namespace="f1eda7e2-2ade-4676-8322-86a7f07dc210"/>
    <xsd:import namespace="d64264fa-5603-4e4e-a2f4-32f4724a08c4"/>
    <xsd:import namespace="0017d5d2-1330-4f3b-97df-3036b6af69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1:_ip_UnifiedCompliancePolicyProperties" minOccurs="0"/>
                <xsd:element ref="ns1:_ip_UnifiedCompliancePolicyUIAction"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da7e2-2ade-4676-8322-86a7f07dc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4cc3ae-357c-4eb4-84e8-520ab3b4f5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4264fa-5603-4e4e-a2f4-32f4724a08c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c5f5680-1da2-4ccd-b446-a33296ade7b1}" ma:internalName="TaxCatchAll" ma:showField="CatchAllData" ma:web="0017d5d2-1330-4f3b-97df-3036b6af69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17d5d2-1330-4f3b-97df-3036b6af69c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64264fa-5603-4e4e-a2f4-32f4724a08c4" xsi:nil="true"/>
    <_ip_UnifiedCompliancePolicyProperties xmlns="http://schemas.microsoft.com/sharepoint/v3" xsi:nil="true"/>
    <lcf76f155ced4ddcb4097134ff3c332f xmlns="f1eda7e2-2ade-4676-8322-86a7f07dc2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38F069-A605-4975-BF4C-5B9FC3E6DAE4}"/>
</file>

<file path=customXml/itemProps2.xml><?xml version="1.0" encoding="utf-8"?>
<ds:datastoreItem xmlns:ds="http://schemas.openxmlformats.org/officeDocument/2006/customXml" ds:itemID="{7DBB4AC7-4639-4E20-AD9C-A739E6DA66A3}"/>
</file>

<file path=customXml/itemProps3.xml><?xml version="1.0" encoding="utf-8"?>
<ds:datastoreItem xmlns:ds="http://schemas.openxmlformats.org/officeDocument/2006/customXml" ds:itemID="{5797CC0F-4B3F-4F6B-88F2-535DAE3CC934}"/>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0x0101000851457BA6B7124E9A79746FEE89B5A6</vt:lpwstr>
  </property>
  <property fmtid="{D5CDD505-2E9C-101B-9397-08002B2CF9AE}" pid="4" name="docLang">
    <vt:lpwstr>en</vt:lpwstr>
  </property>
  <property fmtid="{D5CDD505-2E9C-101B-9397-08002B2CF9AE}" pid="5" name="MediaServiceImageTags">
    <vt:lpwstr/>
  </property>
</Properties>
</file>